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79" w:rsidRPr="00061C43" w:rsidRDefault="00F66479" w:rsidP="00F66479">
      <w:pPr>
        <w:jc w:val="both"/>
        <w:rPr>
          <w:rFonts w:ascii="Times New Roman" w:hAnsi="Times New Roman" w:cs="Times New Roman"/>
          <w:sz w:val="24"/>
          <w:szCs w:val="24"/>
        </w:rPr>
      </w:pPr>
      <w:proofErr w:type="spellStart"/>
      <w:r w:rsidRPr="00061C43">
        <w:rPr>
          <w:rFonts w:ascii="Times New Roman" w:hAnsi="Times New Roman" w:cs="Times New Roman"/>
          <w:sz w:val="24"/>
          <w:szCs w:val="24"/>
        </w:rPr>
        <w:t>Mahajubilee</w:t>
      </w:r>
      <w:proofErr w:type="spellEnd"/>
      <w:r w:rsidRPr="00061C43">
        <w:rPr>
          <w:rFonts w:ascii="Times New Roman" w:hAnsi="Times New Roman" w:cs="Times New Roman"/>
          <w:sz w:val="24"/>
          <w:szCs w:val="24"/>
        </w:rPr>
        <w:t xml:space="preserve"> Teachers Training college is a minority Christian institution run by Corporate Educational Agency, Thrissur with the vision of academic excellence with integrity of character and the mission of the institution is integral development of personality based on Christian ideals. The institution strives to cater to the needs of everyone irrespective of caste and creed. The college looks forward to educate the citizens who love God and serve humanity. Under the leadership of a dedicated and supportive management, the college functions through a decentralised and participative system of governance. The leadership of the institution gives a proper sense of direction to the activities of the institution and endeavours to help the youth to grow up as competent, responsible and mature individuals, imbued with qualities of the head and the heart.</w:t>
      </w:r>
      <w:bookmarkStart w:id="0" w:name="_GoBack"/>
      <w:bookmarkEnd w:id="0"/>
    </w:p>
    <w:p w:rsidR="00F66479" w:rsidRPr="00061C43" w:rsidRDefault="00F66479" w:rsidP="00F66479">
      <w:pPr>
        <w:jc w:val="both"/>
        <w:rPr>
          <w:rFonts w:ascii="Times New Roman" w:hAnsi="Times New Roman" w:cs="Times New Roman"/>
          <w:b/>
          <w:i/>
          <w:sz w:val="24"/>
          <w:szCs w:val="24"/>
        </w:rPr>
      </w:pPr>
      <w:r w:rsidRPr="00061C43">
        <w:rPr>
          <w:rFonts w:ascii="Times New Roman" w:hAnsi="Times New Roman" w:cs="Times New Roman"/>
          <w:b/>
          <w:i/>
          <w:sz w:val="24"/>
          <w:szCs w:val="24"/>
        </w:rPr>
        <w:t>Governance Mechanism</w:t>
      </w:r>
    </w:p>
    <w:p w:rsidR="00F66479" w:rsidRPr="00061C43" w:rsidRDefault="00F66479" w:rsidP="00F66479">
      <w:pPr>
        <w:jc w:val="both"/>
        <w:rPr>
          <w:rFonts w:ascii="Times New Roman" w:hAnsi="Times New Roman" w:cs="Times New Roman"/>
          <w:sz w:val="24"/>
          <w:szCs w:val="24"/>
        </w:rPr>
      </w:pPr>
      <w:r w:rsidRPr="00061C43">
        <w:rPr>
          <w:rFonts w:ascii="Times New Roman" w:hAnsi="Times New Roman" w:cs="Times New Roman"/>
          <w:sz w:val="24"/>
          <w:szCs w:val="24"/>
        </w:rPr>
        <w:t>The governance mechanism ensures that the activities of the college are allied with the vision and mission of the college. The Managing Board is the apex body with regard to the matters in policy making. The Bishop is the highest authority in the organizational structure of the institution. The President of the governing body is the Manager who is assisted by the Corporate Educational Secretary. It comprises of stakeholders like Member of Parliament, Member of Legislative Assembly, former managers, Principal, Office Superintendent, IQAC co-ordinator, alumni and industrialists. The Board gives timely directions to IQAC to give inputs for the preparation of strategic plan as per the vision and mission of the institution. The Board meets two times a year and finalises the strategic plan that focus upon infrastructural development, enhancement of quality in teaching-learning process, promotion of research and healthy practices to be implemented in the college. The Board arranges a meeting with the heads of the departments in the beginning of the academic year to formulate the department academic plan as per the strategic plan. The responsibility to oversee the institution is vested with the Manager and the Principal. The Principal imparts timely instructions to the heads of departments through council meetings and staff meetings to take stock of the situations and decide on quality parameters. The Staff Council comprises of Principal, Vice Principals, Staff representative and the Office Superintendent. The plans proposed by the Managing Board and IQAC are presented before the Staff Council and it takes appropriate measures for its implementation. It also takes major decisions regarding the day-to-day administrative affairs of the college. The democratic style of functioning creates harmony and a sense of collective responsibility in the institution. The vision and mission propounded by the founders of the institution are materialised at various levels by the effective leadership of the management and the committed functioning of the teaching and non-teaching fraternity. The active dialogue between the beneficiaries and the authorities bring about effective strategies for the holistic development of the student community.</w:t>
      </w:r>
    </w:p>
    <w:p w:rsidR="00F66479" w:rsidRDefault="00F66479" w:rsidP="00F66479">
      <w:pPr>
        <w:jc w:val="both"/>
        <w:rPr>
          <w:sz w:val="32"/>
        </w:rPr>
      </w:pPr>
    </w:p>
    <w:p w:rsidR="00F66479" w:rsidRDefault="00F66479" w:rsidP="00F66479">
      <w:pPr>
        <w:jc w:val="both"/>
        <w:rPr>
          <w:sz w:val="32"/>
        </w:rPr>
      </w:pP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DB"/>
    <w:rsid w:val="00061C43"/>
    <w:rsid w:val="009043D1"/>
    <w:rsid w:val="00AC28DB"/>
    <w:rsid w:val="00F57B5E"/>
    <w:rsid w:val="00F664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2F7E"/>
  <w15:chartTrackingRefBased/>
  <w15:docId w15:val="{02EC7C18-DD67-4023-BFF8-291770EF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5</cp:revision>
  <dcterms:created xsi:type="dcterms:W3CDTF">2022-05-19T07:00:00Z</dcterms:created>
  <dcterms:modified xsi:type="dcterms:W3CDTF">2022-06-24T09:04:00Z</dcterms:modified>
</cp:coreProperties>
</file>